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AAS HEALTH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We are conducting research projects on "Aas Health Foundation is an NGO working in the health sector. Our initiatives include health research &amp; screenings, disease prevention programs, holistic healing training, and community health education workshops.Hope for Healing - Dystonia support Initiative" and "Spectrum Serenity Program - Path to Autism Wellness". We have conducted a study on "Hysterectomy- Awareness about unnecessary organ removal". We are committed to benefit society through our research studies.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Vision : Healthy communities empowered with comprehensive healthcare access, knowledge, and sustainable wellness solutions.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Mission Statement: To improve population health by: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Providing evidence-based health information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Educating communities on disease prevention &amp; management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Strengthening individual and community health capacities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Developing innovative healthcare projects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Advocating for equitable health solutions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Establishing strategic partnerships across civic, private, and public sectors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Our core values will include: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Health as a fundamental human right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Scientific evidence-based approaches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Transparency and accountability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Collaborative community engagement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Aas health foundation focuses on holistic health improvement, targeting vulnerable populations and addressing systemic health challenges through integrated, compassionate interventions.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We work in Health sector in three ways -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Research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welfare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Our research programs -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Save her strength - Preserve what Matters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Hope for Healing - Dystonia support Initiative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Spectrum Serenity Program - Path to Autism Wellness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Community drives -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Awareness Programs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Health check up Camps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Medicine distribution camps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Holistic Healthcare Awareness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Yoga for Eyes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Healing Retreats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Education -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Research based skill refinement training programs for doctors &amp; Holistic healthcare providers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BPO++zFAUUu6fdUX3U75oYPGg==">CgMxLjA4AHIhMXU3UzVGQWxqa043UEFqdER0OXJyRmRIdXF0VndUMEd3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2024-11-21T11:06:00Z</dcterms:created>
  <dc:creator>Kamlesh Kakde</dc:creator>
</cp:coreProperties>
</file>